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bookmarkEnd w:id="0"/>
    <w:p w14:paraId="0A887004" w14:textId="1E2CDE61" w:rsidR="006E0B7F" w:rsidRDefault="00DE0875" w:rsidP="00DE0875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E0875">
        <w:rPr>
          <w:b/>
          <w:sz w:val="24"/>
          <w:szCs w:val="24"/>
        </w:rPr>
        <w:t xml:space="preserve">ОБЩЕСТВО С ОГРАНИЧЕННОЙ ОТВЕТСТВЕННОСТЬЮ </w:t>
      </w:r>
      <w:r>
        <w:rPr>
          <w:b/>
          <w:sz w:val="24"/>
          <w:szCs w:val="24"/>
        </w:rPr>
        <w:t>«</w:t>
      </w:r>
      <w:r w:rsidRPr="00DE0875">
        <w:rPr>
          <w:b/>
          <w:sz w:val="24"/>
          <w:szCs w:val="24"/>
        </w:rPr>
        <w:t>СПЕЦИАЛИЗИРОВАННЫЙ ЗАСТРОЙЩИК СЕРЕДНЕВО</w:t>
      </w:r>
      <w:r>
        <w:rPr>
          <w:b/>
          <w:sz w:val="24"/>
          <w:szCs w:val="24"/>
        </w:rPr>
        <w:t>»</w:t>
      </w:r>
      <w:r w:rsidR="00D81F3B"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B882E59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D81F3B" w:rsidRPr="006E0B7F">
        <w:rPr>
          <w:iCs/>
          <w:sz w:val="24"/>
          <w:szCs w:val="24"/>
        </w:rPr>
        <w:t>многоквартирный</w:t>
      </w:r>
      <w:r w:rsidR="00D81F3B">
        <w:rPr>
          <w:iCs/>
          <w:sz w:val="24"/>
          <w:szCs w:val="24"/>
        </w:rPr>
        <w:t xml:space="preserve"> жилой</w:t>
      </w:r>
      <w:r w:rsidR="00D81F3B" w:rsidRPr="006E0B7F">
        <w:rPr>
          <w:iCs/>
          <w:sz w:val="24"/>
          <w:szCs w:val="24"/>
        </w:rPr>
        <w:t xml:space="preserve"> дом, количество этаже</w:t>
      </w:r>
      <w:r w:rsidR="00D81F3B">
        <w:rPr>
          <w:iCs/>
          <w:sz w:val="24"/>
          <w:szCs w:val="24"/>
        </w:rPr>
        <w:t xml:space="preserve">й </w:t>
      </w:r>
      <w:r w:rsidR="00E02D56">
        <w:rPr>
          <w:iCs/>
          <w:sz w:val="24"/>
          <w:szCs w:val="24"/>
        </w:rPr>
        <w:t>9</w:t>
      </w:r>
      <w:r w:rsidR="00D81F3B">
        <w:rPr>
          <w:iCs/>
          <w:sz w:val="24"/>
          <w:szCs w:val="24"/>
        </w:rPr>
        <w:t>+1 подземный</w:t>
      </w:r>
      <w:r w:rsidR="00D81F3B" w:rsidRPr="006E0B7F">
        <w:rPr>
          <w:iCs/>
          <w:sz w:val="24"/>
          <w:szCs w:val="24"/>
        </w:rPr>
        <w:t xml:space="preserve">, общая площадь </w:t>
      </w:r>
      <w:r w:rsidR="00E02D56">
        <w:rPr>
          <w:iCs/>
          <w:sz w:val="24"/>
          <w:szCs w:val="24"/>
        </w:rPr>
        <w:t>31820,4</w:t>
      </w:r>
      <w:r w:rsidR="00D81F3B">
        <w:rPr>
          <w:iCs/>
          <w:sz w:val="24"/>
          <w:szCs w:val="24"/>
        </w:rPr>
        <w:t xml:space="preserve"> кв.м, материал наружных</w:t>
      </w:r>
      <w:r w:rsidR="00D81F3B" w:rsidRPr="006E0B7F">
        <w:rPr>
          <w:iCs/>
          <w:sz w:val="24"/>
          <w:szCs w:val="24"/>
        </w:rPr>
        <w:t xml:space="preserve"> стен</w:t>
      </w:r>
      <w:r w:rsidR="00D81F3B">
        <w:rPr>
          <w:iCs/>
          <w:sz w:val="24"/>
          <w:szCs w:val="24"/>
        </w:rPr>
        <w:t xml:space="preserve"> и каркаса объекта</w:t>
      </w:r>
      <w:r w:rsidR="00D81F3B" w:rsidRPr="006E0B7F">
        <w:rPr>
          <w:iCs/>
          <w:sz w:val="24"/>
          <w:szCs w:val="24"/>
        </w:rPr>
        <w:t xml:space="preserve"> – </w:t>
      </w:r>
      <w:r w:rsidR="00E02D56" w:rsidRPr="00E02D56">
        <w:rPr>
          <w:iCs/>
          <w:sz w:val="24"/>
          <w:szCs w:val="24"/>
        </w:rPr>
        <w:t>несущие железобетонные стены и колонны до 1 этажа включительно, далее навесные трехслойные наружные стеновые панели заводского изготовления, облицованные керамической плиткой в заводских условиях</w:t>
      </w:r>
      <w:r w:rsidR="00D81F3B">
        <w:rPr>
          <w:iCs/>
          <w:sz w:val="24"/>
          <w:szCs w:val="24"/>
        </w:rPr>
        <w:t>;</w:t>
      </w:r>
      <w:r w:rsidR="00D81F3B" w:rsidRPr="00635DAA">
        <w:rPr>
          <w:iCs/>
          <w:sz w:val="24"/>
          <w:szCs w:val="24"/>
        </w:rPr>
        <w:t xml:space="preserve"> материал перекрытий </w:t>
      </w:r>
      <w:r w:rsidR="00D81F3B">
        <w:rPr>
          <w:iCs/>
          <w:sz w:val="24"/>
          <w:szCs w:val="24"/>
        </w:rPr>
        <w:t xml:space="preserve">- </w:t>
      </w:r>
      <w:r w:rsidR="00E02D56" w:rsidRPr="00E02D56">
        <w:rPr>
          <w:iCs/>
          <w:sz w:val="24"/>
          <w:szCs w:val="24"/>
        </w:rPr>
        <w:t>монолитные железобетонные перекрытия до 1 этажа включительно, далее сборные железобетонные плиты заводского изготовления</w:t>
      </w:r>
      <w:r w:rsidR="00D81F3B">
        <w:rPr>
          <w:iCs/>
          <w:sz w:val="24"/>
          <w:szCs w:val="24"/>
        </w:rPr>
        <w:t xml:space="preserve">, </w:t>
      </w:r>
      <w:r w:rsidR="00D81F3B" w:rsidRPr="00635DAA">
        <w:rPr>
          <w:iCs/>
          <w:sz w:val="24"/>
          <w:szCs w:val="24"/>
        </w:rPr>
        <w:t xml:space="preserve">класс энергоэффективности </w:t>
      </w:r>
      <w:r w:rsidR="00E02D56">
        <w:rPr>
          <w:iCs/>
          <w:sz w:val="24"/>
          <w:szCs w:val="24"/>
        </w:rPr>
        <w:t>А</w:t>
      </w:r>
      <w:r w:rsidR="00D81F3B">
        <w:rPr>
          <w:iCs/>
          <w:sz w:val="24"/>
          <w:szCs w:val="24"/>
        </w:rPr>
        <w:t>+</w:t>
      </w:r>
      <w:r w:rsidR="00D81F3B" w:rsidRPr="00635DAA">
        <w:rPr>
          <w:iCs/>
          <w:sz w:val="24"/>
          <w:szCs w:val="24"/>
        </w:rPr>
        <w:t xml:space="preserve">, сейсмостойкость </w:t>
      </w:r>
      <w:r w:rsidR="00D81F3B">
        <w:rPr>
          <w:iCs/>
          <w:sz w:val="24"/>
          <w:szCs w:val="24"/>
        </w:rPr>
        <w:t>- 5 и менее баллов</w:t>
      </w:r>
      <w:r w:rsidR="00D81F3B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D81F3B" w:rsidRPr="00635DAA">
        <w:rPr>
          <w:b/>
          <w:iCs/>
          <w:sz w:val="24"/>
          <w:szCs w:val="24"/>
        </w:rPr>
        <w:t xml:space="preserve">г. Москва, </w:t>
      </w:r>
      <w:r w:rsidR="00D81F3B">
        <w:rPr>
          <w:b/>
          <w:iCs/>
          <w:sz w:val="24"/>
          <w:szCs w:val="24"/>
        </w:rPr>
        <w:t>п.</w:t>
      </w:r>
      <w:r w:rsidR="00D81F3B" w:rsidRPr="00635DAA">
        <w:rPr>
          <w:b/>
          <w:iCs/>
          <w:sz w:val="24"/>
          <w:szCs w:val="24"/>
        </w:rPr>
        <w:t xml:space="preserve"> </w:t>
      </w:r>
      <w:proofErr w:type="spellStart"/>
      <w:r w:rsidR="00E02D56">
        <w:rPr>
          <w:b/>
          <w:iCs/>
          <w:sz w:val="24"/>
          <w:szCs w:val="24"/>
        </w:rPr>
        <w:t>Филимоновское</w:t>
      </w:r>
      <w:proofErr w:type="spellEnd"/>
      <w:r w:rsidR="00E02D56">
        <w:rPr>
          <w:b/>
          <w:iCs/>
          <w:sz w:val="24"/>
          <w:szCs w:val="24"/>
        </w:rPr>
        <w:t xml:space="preserve"> ОАО «Марьинская птицефабрика»</w:t>
      </w:r>
      <w:r w:rsidR="00D81F3B">
        <w:rPr>
          <w:b/>
          <w:iCs/>
          <w:sz w:val="24"/>
          <w:szCs w:val="24"/>
        </w:rPr>
        <w:t xml:space="preserve">, вблизи д. </w:t>
      </w:r>
      <w:proofErr w:type="spellStart"/>
      <w:r w:rsidR="00E02D56">
        <w:rPr>
          <w:b/>
          <w:iCs/>
          <w:sz w:val="24"/>
          <w:szCs w:val="24"/>
        </w:rPr>
        <w:t>Середнево</w:t>
      </w:r>
      <w:proofErr w:type="spellEnd"/>
      <w:r w:rsidR="00D81F3B">
        <w:rPr>
          <w:b/>
          <w:iCs/>
          <w:sz w:val="24"/>
          <w:szCs w:val="24"/>
        </w:rPr>
        <w:t>,</w:t>
      </w:r>
      <w:r w:rsidR="00E02D56">
        <w:rPr>
          <w:b/>
          <w:iCs/>
          <w:sz w:val="24"/>
          <w:szCs w:val="24"/>
        </w:rPr>
        <w:t xml:space="preserve"> уч. </w:t>
      </w:r>
      <w:r w:rsidR="00E02D56">
        <w:rPr>
          <w:b/>
          <w:iCs/>
          <w:sz w:val="24"/>
          <w:szCs w:val="24"/>
          <w:lang w:val="en-US"/>
        </w:rPr>
        <w:t>VIII</w:t>
      </w:r>
      <w:r w:rsidR="00E02D56">
        <w:rPr>
          <w:b/>
          <w:iCs/>
          <w:sz w:val="24"/>
          <w:szCs w:val="24"/>
        </w:rPr>
        <w:t>-1/1,</w:t>
      </w:r>
      <w:r w:rsidR="00D81F3B">
        <w:rPr>
          <w:b/>
          <w:iCs/>
          <w:sz w:val="24"/>
          <w:szCs w:val="24"/>
        </w:rPr>
        <w:t xml:space="preserve"> корп.</w:t>
      </w:r>
      <w:r w:rsidR="00E02D56">
        <w:rPr>
          <w:b/>
          <w:iCs/>
          <w:sz w:val="24"/>
          <w:szCs w:val="24"/>
        </w:rPr>
        <w:t>1.2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182ADDF1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- </w:t>
      </w:r>
      <w:r w:rsidR="000C2625">
        <w:rPr>
          <w:sz w:val="24"/>
          <w:szCs w:val="24"/>
        </w:rPr>
        <w:t xml:space="preserve">Договор купли-продажи № 1 </w:t>
      </w:r>
      <w:r w:rsidR="000C2625" w:rsidRPr="00CA4BDA">
        <w:rPr>
          <w:sz w:val="24"/>
          <w:szCs w:val="24"/>
        </w:rPr>
        <w:t xml:space="preserve">от </w:t>
      </w:r>
      <w:r w:rsidR="000C2625">
        <w:rPr>
          <w:sz w:val="24"/>
          <w:szCs w:val="24"/>
        </w:rPr>
        <w:t xml:space="preserve">08.10.2013, </w:t>
      </w:r>
      <w:r w:rsidRPr="000D0A24">
        <w:rPr>
          <w:sz w:val="24"/>
          <w:szCs w:val="24"/>
        </w:rPr>
        <w:t>зарегистрированный Управлением Федеральной службы государственной регистрации, кадастра и картографии по Москве</w:t>
      </w:r>
      <w:r w:rsidR="000C2625">
        <w:rPr>
          <w:sz w:val="24"/>
          <w:szCs w:val="24"/>
        </w:rPr>
        <w:t xml:space="preserve"> 20.12.2013</w:t>
      </w:r>
      <w:r w:rsidR="000C2625" w:rsidRPr="00233BA8">
        <w:rPr>
          <w:sz w:val="24"/>
          <w:szCs w:val="24"/>
        </w:rPr>
        <w:t xml:space="preserve"> г. за № </w:t>
      </w:r>
      <w:r w:rsidR="000C2625">
        <w:rPr>
          <w:sz w:val="24"/>
          <w:szCs w:val="24"/>
        </w:rPr>
        <w:t>77-</w:t>
      </w:r>
      <w:r w:rsidR="000C2625" w:rsidRPr="00233BA8">
        <w:rPr>
          <w:sz w:val="24"/>
          <w:szCs w:val="24"/>
        </w:rPr>
        <w:t>77</w:t>
      </w:r>
      <w:r w:rsidR="000C2625">
        <w:rPr>
          <w:sz w:val="24"/>
          <w:szCs w:val="24"/>
        </w:rPr>
        <w:t>-14/079/2019-999</w:t>
      </w:r>
      <w:r w:rsidRPr="000D0A24">
        <w:rPr>
          <w:sz w:val="24"/>
          <w:szCs w:val="24"/>
        </w:rPr>
        <w:t xml:space="preserve">. Объект права – земельный участок, площадью </w:t>
      </w:r>
      <w:r w:rsidR="000C2625">
        <w:rPr>
          <w:sz w:val="24"/>
          <w:szCs w:val="24"/>
        </w:rPr>
        <w:t>1480675,0</w:t>
      </w:r>
      <w:r w:rsidR="000C2625" w:rsidRPr="00CA4BDA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 xml:space="preserve">кв.м,,  кадастровый номер земельного участка </w:t>
      </w:r>
      <w:r w:rsidR="000C2625">
        <w:rPr>
          <w:sz w:val="24"/>
          <w:szCs w:val="24"/>
        </w:rPr>
        <w:t>50</w:t>
      </w:r>
      <w:r w:rsidR="000C2625" w:rsidRPr="00CA4BDA">
        <w:rPr>
          <w:sz w:val="24"/>
          <w:szCs w:val="24"/>
        </w:rPr>
        <w:t>:</w:t>
      </w:r>
      <w:r w:rsidR="000C2625">
        <w:rPr>
          <w:sz w:val="24"/>
          <w:szCs w:val="24"/>
        </w:rPr>
        <w:t>21</w:t>
      </w:r>
      <w:r w:rsidR="000C2625" w:rsidRPr="00CA4BDA">
        <w:rPr>
          <w:sz w:val="24"/>
          <w:szCs w:val="24"/>
        </w:rPr>
        <w:t>:</w:t>
      </w:r>
      <w:r w:rsidR="000C2625">
        <w:rPr>
          <w:sz w:val="24"/>
          <w:szCs w:val="24"/>
        </w:rPr>
        <w:t>0110114</w:t>
      </w:r>
      <w:r w:rsidR="000C2625" w:rsidRPr="00CA4BDA">
        <w:rPr>
          <w:sz w:val="24"/>
          <w:szCs w:val="24"/>
        </w:rPr>
        <w:t>:</w:t>
      </w:r>
      <w:r w:rsidR="000C2625">
        <w:rPr>
          <w:sz w:val="24"/>
          <w:szCs w:val="24"/>
        </w:rPr>
        <w:t>321</w:t>
      </w:r>
      <w:r w:rsidRPr="000D0A24">
        <w:rPr>
          <w:sz w:val="24"/>
          <w:szCs w:val="24"/>
        </w:rPr>
        <w:t>, категория земель – «Земли населенных пунктов», вид разрешенного использования - «</w:t>
      </w:r>
      <w:r w:rsidR="000C2625" w:rsidRPr="00563697">
        <w:rPr>
          <w:sz w:val="24"/>
          <w:szCs w:val="24"/>
        </w:rPr>
        <w:t>многоэтажная жилая застройка (высотная застройка) (2.6)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 xml:space="preserve">я домов </w:t>
      </w:r>
      <w:proofErr w:type="spellStart"/>
      <w:r w:rsidR="000C2625" w:rsidRPr="00563697">
        <w:rPr>
          <w:sz w:val="24"/>
          <w:szCs w:val="24"/>
        </w:rPr>
        <w:t>среднеэтажной</w:t>
      </w:r>
      <w:proofErr w:type="spellEnd"/>
      <w:r w:rsidR="000C2625" w:rsidRPr="00563697">
        <w:rPr>
          <w:sz w:val="24"/>
          <w:szCs w:val="24"/>
        </w:rPr>
        <w:t xml:space="preserve"> и многоэтажной жилой застройки (1.2.1)); обществен</w:t>
      </w:r>
      <w:r w:rsidR="000C2625">
        <w:rPr>
          <w:sz w:val="24"/>
          <w:szCs w:val="24"/>
        </w:rPr>
        <w:t>ное</w:t>
      </w:r>
      <w:r w:rsidR="000C2625" w:rsidRPr="00563697">
        <w:rPr>
          <w:sz w:val="24"/>
          <w:szCs w:val="24"/>
        </w:rPr>
        <w:t xml:space="preserve"> использ</w:t>
      </w:r>
      <w:r w:rsidR="000C2625">
        <w:rPr>
          <w:sz w:val="24"/>
          <w:szCs w:val="24"/>
        </w:rPr>
        <w:t>овани</w:t>
      </w:r>
      <w:r w:rsidR="000C2625" w:rsidRPr="00563697">
        <w:rPr>
          <w:sz w:val="24"/>
          <w:szCs w:val="24"/>
        </w:rPr>
        <w:t>е объектов капитального строит</w:t>
      </w:r>
      <w:r w:rsidR="000C2625">
        <w:rPr>
          <w:sz w:val="24"/>
          <w:szCs w:val="24"/>
        </w:rPr>
        <w:t>ельст</w:t>
      </w:r>
      <w:r w:rsidR="000C2625" w:rsidRPr="00563697">
        <w:rPr>
          <w:sz w:val="24"/>
          <w:szCs w:val="24"/>
        </w:rPr>
        <w:t>ва (3.0)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разработки полезных ископаемых,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железнодор</w:t>
      </w:r>
      <w:r w:rsidR="000C2625">
        <w:rPr>
          <w:sz w:val="24"/>
          <w:szCs w:val="24"/>
        </w:rPr>
        <w:t>ожны</w:t>
      </w:r>
      <w:r w:rsidR="000C2625" w:rsidRPr="00563697">
        <w:rPr>
          <w:sz w:val="24"/>
          <w:szCs w:val="24"/>
        </w:rPr>
        <w:t>х путей, автомоб</w:t>
      </w:r>
      <w:r w:rsidR="000C2625">
        <w:rPr>
          <w:sz w:val="24"/>
          <w:szCs w:val="24"/>
        </w:rPr>
        <w:t>ильны</w:t>
      </w:r>
      <w:r w:rsidR="000C2625" w:rsidRPr="00563697">
        <w:rPr>
          <w:sz w:val="24"/>
          <w:szCs w:val="24"/>
        </w:rPr>
        <w:t>х дорог, искусственно созданных внутренних водных путей, причалов, пристаней, полос отвода железных и автомоб</w:t>
      </w:r>
      <w:r w:rsidR="000C2625">
        <w:rPr>
          <w:sz w:val="24"/>
          <w:szCs w:val="24"/>
        </w:rPr>
        <w:t>ильны</w:t>
      </w:r>
      <w:r w:rsidR="000C2625" w:rsidRPr="00563697">
        <w:rPr>
          <w:sz w:val="24"/>
          <w:szCs w:val="24"/>
        </w:rPr>
        <w:t>х дорог, водных путей, трубопроводов, кабельных, радиорелейных и воздушных линий связи и линий радиофикации, воздушных линий электропередачи конструкт-х элементов и сооружений, объектов, необход</w:t>
      </w:r>
      <w:r w:rsidR="000C2625">
        <w:rPr>
          <w:sz w:val="24"/>
          <w:szCs w:val="24"/>
        </w:rPr>
        <w:t>имы</w:t>
      </w:r>
      <w:r w:rsidR="000C2625" w:rsidRPr="00563697">
        <w:rPr>
          <w:sz w:val="24"/>
          <w:szCs w:val="24"/>
        </w:rPr>
        <w:t>х для эксплуатации, содерж</w:t>
      </w:r>
      <w:r w:rsidR="000C2625">
        <w:rPr>
          <w:sz w:val="24"/>
          <w:szCs w:val="24"/>
        </w:rPr>
        <w:t>ани</w:t>
      </w:r>
      <w:r w:rsidR="000C2625" w:rsidRPr="00563697">
        <w:rPr>
          <w:sz w:val="24"/>
          <w:szCs w:val="24"/>
        </w:rPr>
        <w:t>я, строит</w:t>
      </w:r>
      <w:r w:rsidR="000C2625">
        <w:rPr>
          <w:sz w:val="24"/>
          <w:szCs w:val="24"/>
        </w:rPr>
        <w:t>ельст</w:t>
      </w:r>
      <w:r w:rsidR="000C2625" w:rsidRPr="00563697">
        <w:rPr>
          <w:sz w:val="24"/>
          <w:szCs w:val="24"/>
        </w:rPr>
        <w:t>ва, реконструкции, ремонта, развития наземных и подземных зданий, строений, сооружений, устр</w:t>
      </w:r>
      <w:r w:rsidR="000C2625">
        <w:rPr>
          <w:sz w:val="24"/>
          <w:szCs w:val="24"/>
        </w:rPr>
        <w:t>ойст</w:t>
      </w:r>
      <w:r w:rsidR="000C2625" w:rsidRPr="00563697">
        <w:rPr>
          <w:sz w:val="24"/>
          <w:szCs w:val="24"/>
        </w:rPr>
        <w:t>в транспорта, энергетики и связи;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наземных сооружений и инфр</w:t>
      </w:r>
      <w:r w:rsidR="000C2625">
        <w:rPr>
          <w:sz w:val="24"/>
          <w:szCs w:val="24"/>
        </w:rPr>
        <w:t>аструкту</w:t>
      </w:r>
      <w:r w:rsidR="000C2625" w:rsidRPr="00563697">
        <w:rPr>
          <w:sz w:val="24"/>
          <w:szCs w:val="24"/>
        </w:rPr>
        <w:t>ры спутниковой связи, объектов космич</w:t>
      </w:r>
      <w:r w:rsidR="000C2625">
        <w:rPr>
          <w:sz w:val="24"/>
          <w:szCs w:val="24"/>
        </w:rPr>
        <w:t>еской</w:t>
      </w:r>
      <w:r w:rsidR="000C2625" w:rsidRPr="00563697">
        <w:rPr>
          <w:sz w:val="24"/>
          <w:szCs w:val="24"/>
        </w:rPr>
        <w:t xml:space="preserve"> деятельности, военных объектов (1.2.13)); обществен</w:t>
      </w:r>
      <w:r w:rsidR="000C2625">
        <w:rPr>
          <w:sz w:val="24"/>
          <w:szCs w:val="24"/>
        </w:rPr>
        <w:t xml:space="preserve">ное </w:t>
      </w:r>
      <w:r w:rsidR="000C2625" w:rsidRPr="00563697">
        <w:rPr>
          <w:sz w:val="24"/>
          <w:szCs w:val="24"/>
        </w:rPr>
        <w:t>использ</w:t>
      </w:r>
      <w:r w:rsidR="000C2625">
        <w:rPr>
          <w:sz w:val="24"/>
          <w:szCs w:val="24"/>
        </w:rPr>
        <w:t>овани</w:t>
      </w:r>
      <w:r w:rsidR="000C2625" w:rsidRPr="00563697">
        <w:rPr>
          <w:sz w:val="24"/>
          <w:szCs w:val="24"/>
        </w:rPr>
        <w:t>е объектов капитального строит</w:t>
      </w:r>
      <w:r w:rsidR="000C2625">
        <w:rPr>
          <w:sz w:val="24"/>
          <w:szCs w:val="24"/>
        </w:rPr>
        <w:t>ельст</w:t>
      </w:r>
      <w:r w:rsidR="000C2625" w:rsidRPr="00563697">
        <w:rPr>
          <w:sz w:val="24"/>
          <w:szCs w:val="24"/>
        </w:rPr>
        <w:t>ва (3.0)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объектов торговли, обществен</w:t>
      </w:r>
      <w:r w:rsidR="000C2625">
        <w:rPr>
          <w:sz w:val="24"/>
          <w:szCs w:val="24"/>
        </w:rPr>
        <w:t>ного</w:t>
      </w:r>
      <w:r w:rsidR="000C2625" w:rsidRPr="00563697">
        <w:rPr>
          <w:sz w:val="24"/>
          <w:szCs w:val="24"/>
        </w:rPr>
        <w:t xml:space="preserve"> питания и бытового обслуж</w:t>
      </w:r>
      <w:r w:rsidR="000C2625">
        <w:rPr>
          <w:sz w:val="24"/>
          <w:szCs w:val="24"/>
        </w:rPr>
        <w:t>ивани</w:t>
      </w:r>
      <w:r w:rsidR="000C2625" w:rsidRPr="00563697">
        <w:rPr>
          <w:sz w:val="24"/>
          <w:szCs w:val="24"/>
        </w:rPr>
        <w:t>я (1.2.5)); обществен</w:t>
      </w:r>
      <w:r w:rsidR="000C2625">
        <w:rPr>
          <w:sz w:val="24"/>
          <w:szCs w:val="24"/>
        </w:rPr>
        <w:t>ное</w:t>
      </w:r>
      <w:r w:rsidR="000C2625" w:rsidRPr="00563697">
        <w:rPr>
          <w:sz w:val="24"/>
          <w:szCs w:val="24"/>
        </w:rPr>
        <w:t xml:space="preserve"> использ</w:t>
      </w:r>
      <w:r w:rsidR="000C2625">
        <w:rPr>
          <w:sz w:val="24"/>
          <w:szCs w:val="24"/>
        </w:rPr>
        <w:t>овани</w:t>
      </w:r>
      <w:r w:rsidR="000C2625" w:rsidRPr="00563697">
        <w:rPr>
          <w:sz w:val="24"/>
          <w:szCs w:val="24"/>
        </w:rPr>
        <w:t>е объектов капитального строит</w:t>
      </w:r>
      <w:r w:rsidR="000C2625">
        <w:rPr>
          <w:sz w:val="24"/>
          <w:szCs w:val="24"/>
        </w:rPr>
        <w:t>ельст</w:t>
      </w:r>
      <w:r w:rsidR="000C2625" w:rsidRPr="00563697">
        <w:rPr>
          <w:sz w:val="24"/>
          <w:szCs w:val="24"/>
        </w:rPr>
        <w:t>ва (3.0)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админ</w:t>
      </w:r>
      <w:r w:rsidR="000C2625">
        <w:rPr>
          <w:sz w:val="24"/>
          <w:szCs w:val="24"/>
        </w:rPr>
        <w:t>истративны</w:t>
      </w:r>
      <w:r w:rsidR="000C2625" w:rsidRPr="00563697">
        <w:rPr>
          <w:sz w:val="24"/>
          <w:szCs w:val="24"/>
        </w:rPr>
        <w:t>х зданий, объектов образования, науки, здравоохранения и соц</w:t>
      </w:r>
      <w:r w:rsidR="000C2625">
        <w:rPr>
          <w:sz w:val="24"/>
          <w:szCs w:val="24"/>
        </w:rPr>
        <w:t>иального</w:t>
      </w:r>
      <w:r w:rsidR="000C2625" w:rsidRPr="00563697">
        <w:rPr>
          <w:sz w:val="24"/>
          <w:szCs w:val="24"/>
        </w:rPr>
        <w:t xml:space="preserve"> обеспеч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я, физ</w:t>
      </w:r>
      <w:r w:rsidR="000C2625">
        <w:rPr>
          <w:sz w:val="24"/>
          <w:szCs w:val="24"/>
        </w:rPr>
        <w:t>ической</w:t>
      </w:r>
      <w:r w:rsidR="000C2625" w:rsidRPr="00563697">
        <w:rPr>
          <w:sz w:val="24"/>
          <w:szCs w:val="24"/>
        </w:rPr>
        <w:t xml:space="preserve"> культуры и спорта, культуры, искусства, религии (1.2.17)); коммунал</w:t>
      </w:r>
      <w:r w:rsidR="000C2625">
        <w:rPr>
          <w:sz w:val="24"/>
          <w:szCs w:val="24"/>
        </w:rPr>
        <w:t>ьное</w:t>
      </w:r>
      <w:r w:rsidR="000C2625" w:rsidRPr="00563697">
        <w:rPr>
          <w:sz w:val="24"/>
          <w:szCs w:val="24"/>
        </w:rPr>
        <w:t xml:space="preserve"> обслуж</w:t>
      </w:r>
      <w:r w:rsidR="000C2625">
        <w:rPr>
          <w:sz w:val="24"/>
          <w:szCs w:val="24"/>
        </w:rPr>
        <w:t>ивани</w:t>
      </w:r>
      <w:r w:rsidR="000C2625" w:rsidRPr="00563697">
        <w:rPr>
          <w:sz w:val="24"/>
          <w:szCs w:val="24"/>
        </w:rPr>
        <w:t>е (3.1)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разработки полезных ископаемых,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железнодорожных путей, автомоб</w:t>
      </w:r>
      <w:r w:rsidR="000C2625">
        <w:rPr>
          <w:sz w:val="24"/>
          <w:szCs w:val="24"/>
        </w:rPr>
        <w:t>ильны</w:t>
      </w:r>
      <w:r w:rsidR="000C2625" w:rsidRPr="00563697">
        <w:rPr>
          <w:sz w:val="24"/>
          <w:szCs w:val="24"/>
        </w:rPr>
        <w:t>х дорог, искусственно созданных внутренних водных путей, причалов, пристаней, полос отвода железных и автомоб</w:t>
      </w:r>
      <w:r w:rsidR="000C2625">
        <w:rPr>
          <w:sz w:val="24"/>
          <w:szCs w:val="24"/>
        </w:rPr>
        <w:t>ильны</w:t>
      </w:r>
      <w:r w:rsidR="000C2625" w:rsidRPr="00563697">
        <w:rPr>
          <w:sz w:val="24"/>
          <w:szCs w:val="24"/>
        </w:rPr>
        <w:t>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</w:t>
      </w:r>
      <w:r w:rsidR="000C2625">
        <w:rPr>
          <w:sz w:val="24"/>
          <w:szCs w:val="24"/>
        </w:rPr>
        <w:t>имы</w:t>
      </w:r>
      <w:r w:rsidR="000C2625" w:rsidRPr="00563697">
        <w:rPr>
          <w:sz w:val="24"/>
          <w:szCs w:val="24"/>
        </w:rPr>
        <w:t>х для эксплуатации, содерж</w:t>
      </w:r>
      <w:r w:rsidR="000C2625">
        <w:rPr>
          <w:sz w:val="24"/>
          <w:szCs w:val="24"/>
        </w:rPr>
        <w:t>ани</w:t>
      </w:r>
      <w:r w:rsidR="000C2625" w:rsidRPr="00563697">
        <w:rPr>
          <w:sz w:val="24"/>
          <w:szCs w:val="24"/>
        </w:rPr>
        <w:t>я, строит</w:t>
      </w:r>
      <w:r w:rsidR="000C2625">
        <w:rPr>
          <w:sz w:val="24"/>
          <w:szCs w:val="24"/>
        </w:rPr>
        <w:t>ельст</w:t>
      </w:r>
      <w:r w:rsidR="000C2625" w:rsidRPr="00563697">
        <w:rPr>
          <w:sz w:val="24"/>
          <w:szCs w:val="24"/>
        </w:rPr>
        <w:t>ва, реконструкции, ремонта, развития наземных и подземных зданий, строений, сооружений, устр</w:t>
      </w:r>
      <w:r w:rsidR="000C2625">
        <w:rPr>
          <w:sz w:val="24"/>
          <w:szCs w:val="24"/>
        </w:rPr>
        <w:t>ойст</w:t>
      </w:r>
      <w:r w:rsidR="000C2625" w:rsidRPr="00563697">
        <w:rPr>
          <w:sz w:val="24"/>
          <w:szCs w:val="24"/>
        </w:rPr>
        <w:t>в транспорта, энергетики и связи;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наземных сооружений и инфр</w:t>
      </w:r>
      <w:r w:rsidR="000C2625">
        <w:rPr>
          <w:sz w:val="24"/>
          <w:szCs w:val="24"/>
        </w:rPr>
        <w:t>аструкту</w:t>
      </w:r>
      <w:r w:rsidR="000C2625" w:rsidRPr="00563697">
        <w:rPr>
          <w:sz w:val="24"/>
          <w:szCs w:val="24"/>
        </w:rPr>
        <w:t>ры спутниковой связи, объектов космич</w:t>
      </w:r>
      <w:r w:rsidR="000C2625">
        <w:rPr>
          <w:sz w:val="24"/>
          <w:szCs w:val="24"/>
        </w:rPr>
        <w:t>еской</w:t>
      </w:r>
      <w:r w:rsidR="000C2625" w:rsidRPr="00563697">
        <w:rPr>
          <w:sz w:val="24"/>
          <w:szCs w:val="24"/>
        </w:rPr>
        <w:t xml:space="preserve"> деятельности, военных объектов (1.2.13)); образование и просвещение (3.5)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админ</w:t>
      </w:r>
      <w:r w:rsidR="000C2625">
        <w:rPr>
          <w:sz w:val="24"/>
          <w:szCs w:val="24"/>
        </w:rPr>
        <w:t>истративны</w:t>
      </w:r>
      <w:r w:rsidR="000C2625" w:rsidRPr="00563697">
        <w:rPr>
          <w:sz w:val="24"/>
          <w:szCs w:val="24"/>
        </w:rPr>
        <w:t>х зданий, объектов образования, науки, здравоохранения и соц</w:t>
      </w:r>
      <w:r w:rsidR="000C2625">
        <w:rPr>
          <w:sz w:val="24"/>
          <w:szCs w:val="24"/>
        </w:rPr>
        <w:t>иального</w:t>
      </w:r>
      <w:r w:rsidR="000C2625" w:rsidRPr="00563697">
        <w:rPr>
          <w:sz w:val="24"/>
          <w:szCs w:val="24"/>
        </w:rPr>
        <w:t xml:space="preserve"> обеспеч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я, физ</w:t>
      </w:r>
      <w:r w:rsidR="000C2625">
        <w:rPr>
          <w:sz w:val="24"/>
          <w:szCs w:val="24"/>
        </w:rPr>
        <w:t>ической</w:t>
      </w:r>
      <w:r w:rsidR="000C2625" w:rsidRPr="00563697">
        <w:rPr>
          <w:sz w:val="24"/>
          <w:szCs w:val="24"/>
        </w:rPr>
        <w:t xml:space="preserve"> культуры и спорта, культуры, искусства, религии (1.2.17)); деловое управление (4.1)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офисных зданий делового и коммерч</w:t>
      </w:r>
      <w:r w:rsidR="000C2625">
        <w:rPr>
          <w:sz w:val="24"/>
          <w:szCs w:val="24"/>
        </w:rPr>
        <w:t>еско</w:t>
      </w:r>
      <w:r w:rsidR="000C2625" w:rsidRPr="00563697">
        <w:rPr>
          <w:sz w:val="24"/>
          <w:szCs w:val="24"/>
        </w:rPr>
        <w:t>го назначения (1.2.7)); магазины (4.4)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объектов торговли, обществ</w:t>
      </w:r>
      <w:r w:rsidR="000C2625">
        <w:rPr>
          <w:sz w:val="24"/>
          <w:szCs w:val="24"/>
        </w:rPr>
        <w:t>енного</w:t>
      </w:r>
      <w:r w:rsidR="000C2625" w:rsidRPr="00563697">
        <w:rPr>
          <w:sz w:val="24"/>
          <w:szCs w:val="24"/>
        </w:rPr>
        <w:t xml:space="preserve"> питания и бытового обслуж</w:t>
      </w:r>
      <w:r w:rsidR="000C2625">
        <w:rPr>
          <w:sz w:val="24"/>
          <w:szCs w:val="24"/>
        </w:rPr>
        <w:t>ивани</w:t>
      </w:r>
      <w:r w:rsidR="000C2625" w:rsidRPr="00563697">
        <w:rPr>
          <w:sz w:val="24"/>
          <w:szCs w:val="24"/>
        </w:rPr>
        <w:t>я (1.2.5)); обслуж</w:t>
      </w:r>
      <w:r w:rsidR="000C2625">
        <w:rPr>
          <w:sz w:val="24"/>
          <w:szCs w:val="24"/>
        </w:rPr>
        <w:t>ивани</w:t>
      </w:r>
      <w:r w:rsidR="000C2625" w:rsidRPr="00563697">
        <w:rPr>
          <w:sz w:val="24"/>
          <w:szCs w:val="24"/>
        </w:rPr>
        <w:t>е автотранспорта (4.9) (земельные участки, предназнач</w:t>
      </w:r>
      <w:r w:rsidR="000C2625">
        <w:rPr>
          <w:sz w:val="24"/>
          <w:szCs w:val="24"/>
        </w:rPr>
        <w:t>енны</w:t>
      </w:r>
      <w:r w:rsidR="000C2625" w:rsidRPr="00563697">
        <w:rPr>
          <w:sz w:val="24"/>
          <w:szCs w:val="24"/>
        </w:rPr>
        <w:t>е для размещ</w:t>
      </w:r>
      <w:r w:rsidR="000C2625">
        <w:rPr>
          <w:sz w:val="24"/>
          <w:szCs w:val="24"/>
        </w:rPr>
        <w:t>ени</w:t>
      </w:r>
      <w:r w:rsidR="000C2625" w:rsidRPr="00563697">
        <w:rPr>
          <w:sz w:val="24"/>
          <w:szCs w:val="24"/>
        </w:rPr>
        <w:t>я гаражей и автостоянок (1.2.3))</w:t>
      </w:r>
      <w:r w:rsidRPr="000D0A24">
        <w:rPr>
          <w:sz w:val="24"/>
          <w:szCs w:val="24"/>
        </w:rPr>
        <w:t>»</w:t>
      </w:r>
      <w:r w:rsidR="000C2625">
        <w:rPr>
          <w:sz w:val="24"/>
          <w:szCs w:val="24"/>
        </w:rPr>
        <w:t>,</w:t>
      </w:r>
      <w:r w:rsidRPr="000D0A24">
        <w:rPr>
          <w:sz w:val="24"/>
          <w:szCs w:val="24"/>
        </w:rPr>
        <w:t xml:space="preserve"> </w:t>
      </w:r>
      <w:r w:rsidR="000C2625" w:rsidRPr="00BF2B7A">
        <w:rPr>
          <w:sz w:val="24"/>
          <w:szCs w:val="24"/>
        </w:rPr>
        <w:t>имеющ</w:t>
      </w:r>
      <w:r w:rsidR="000C2625">
        <w:rPr>
          <w:sz w:val="24"/>
          <w:szCs w:val="24"/>
        </w:rPr>
        <w:t xml:space="preserve">ий </w:t>
      </w:r>
      <w:r w:rsidR="000C2625" w:rsidRPr="00750A73">
        <w:rPr>
          <w:sz w:val="24"/>
          <w:szCs w:val="24"/>
        </w:rPr>
        <w:t xml:space="preserve">адресный ориентир: </w:t>
      </w:r>
      <w:r w:rsidR="000C2625">
        <w:rPr>
          <w:sz w:val="24"/>
          <w:szCs w:val="24"/>
        </w:rPr>
        <w:t>г</w:t>
      </w:r>
      <w:r w:rsidR="000C2625" w:rsidRPr="00563697">
        <w:rPr>
          <w:sz w:val="24"/>
          <w:szCs w:val="24"/>
        </w:rPr>
        <w:t xml:space="preserve">ород Москва, поселение </w:t>
      </w:r>
      <w:proofErr w:type="spellStart"/>
      <w:r w:rsidR="000C2625" w:rsidRPr="00563697">
        <w:rPr>
          <w:sz w:val="24"/>
          <w:szCs w:val="24"/>
        </w:rPr>
        <w:t>Филимонковское</w:t>
      </w:r>
      <w:proofErr w:type="spellEnd"/>
      <w:r w:rsidR="000C2625" w:rsidRPr="00563697">
        <w:rPr>
          <w:sz w:val="24"/>
          <w:szCs w:val="24"/>
        </w:rPr>
        <w:t>, ОАО "Марьинская птицефабрика", вблизи д.</w:t>
      </w:r>
      <w:r w:rsidR="000C2625">
        <w:rPr>
          <w:sz w:val="24"/>
          <w:szCs w:val="24"/>
        </w:rPr>
        <w:t xml:space="preserve"> </w:t>
      </w:r>
      <w:proofErr w:type="spellStart"/>
      <w:r w:rsidR="000C2625" w:rsidRPr="00563697">
        <w:rPr>
          <w:sz w:val="24"/>
          <w:szCs w:val="24"/>
        </w:rPr>
        <w:t>Середнево</w:t>
      </w:r>
      <w:proofErr w:type="spellEnd"/>
      <w:r w:rsidR="000C2625" w:rsidRPr="00563697">
        <w:rPr>
          <w:sz w:val="24"/>
          <w:szCs w:val="24"/>
        </w:rPr>
        <w:t>,</w:t>
      </w:r>
      <w:r w:rsidR="000C2625">
        <w:rPr>
          <w:sz w:val="24"/>
          <w:szCs w:val="24"/>
        </w:rPr>
        <w:t xml:space="preserve"> </w:t>
      </w:r>
      <w:r w:rsidR="000C2625" w:rsidRPr="00563697">
        <w:rPr>
          <w:sz w:val="24"/>
          <w:szCs w:val="24"/>
        </w:rPr>
        <w:t>уч.№ VIII-1/1</w:t>
      </w:r>
      <w:r w:rsidRPr="000D0A24">
        <w:rPr>
          <w:sz w:val="24"/>
          <w:szCs w:val="24"/>
        </w:rPr>
        <w:t>.</w:t>
      </w:r>
    </w:p>
    <w:p w14:paraId="0567665D" w14:textId="1385550A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  - Разрешение на строительство № 77-24</w:t>
      </w:r>
      <w:r w:rsidR="00897D16">
        <w:rPr>
          <w:sz w:val="24"/>
          <w:szCs w:val="24"/>
        </w:rPr>
        <w:t>6</w:t>
      </w:r>
      <w:r w:rsidRPr="000D0A24">
        <w:rPr>
          <w:sz w:val="24"/>
          <w:szCs w:val="24"/>
        </w:rPr>
        <w:t>000-019</w:t>
      </w:r>
      <w:r w:rsidR="00222800">
        <w:rPr>
          <w:sz w:val="24"/>
          <w:szCs w:val="24"/>
        </w:rPr>
        <w:t>611</w:t>
      </w:r>
      <w:r w:rsidRPr="000D0A24">
        <w:rPr>
          <w:sz w:val="24"/>
          <w:szCs w:val="24"/>
        </w:rPr>
        <w:t xml:space="preserve">-2021 от </w:t>
      </w:r>
      <w:r w:rsidR="00222800">
        <w:rPr>
          <w:sz w:val="24"/>
          <w:szCs w:val="24"/>
        </w:rPr>
        <w:t>16.06</w:t>
      </w:r>
      <w:r w:rsidRPr="000D0A24">
        <w:rPr>
          <w:sz w:val="24"/>
          <w:szCs w:val="24"/>
        </w:rPr>
        <w:t>.2021 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1" w:name="_Hlk524349579"/>
      <w:r w:rsidR="001A7FB1" w:rsidRPr="001A7FB1">
        <w:rPr>
          <w:bCs/>
          <w:spacing w:val="-1"/>
          <w:sz w:val="24"/>
          <w:szCs w:val="24"/>
        </w:rPr>
        <w:t xml:space="preserve"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</w:t>
      </w:r>
      <w:proofErr w:type="spellStart"/>
      <w:r w:rsidR="001A7FB1" w:rsidRPr="001A7FB1">
        <w:rPr>
          <w:bCs/>
          <w:spacing w:val="-1"/>
          <w:sz w:val="24"/>
          <w:szCs w:val="24"/>
        </w:rPr>
        <w:t>кор</w:t>
      </w:r>
      <w:proofErr w:type="spellEnd"/>
      <w:r w:rsidR="001A7FB1" w:rsidRPr="001A7FB1">
        <w:rPr>
          <w:bCs/>
          <w:spacing w:val="-1"/>
          <w:sz w:val="24"/>
          <w:szCs w:val="24"/>
        </w:rPr>
        <w:t>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по тексту - «</w:t>
      </w:r>
      <w:proofErr w:type="spellStart"/>
      <w:r w:rsidRPr="001A7FB1">
        <w:rPr>
          <w:sz w:val="24"/>
          <w:szCs w:val="24"/>
        </w:rPr>
        <w:t>Эскроу</w:t>
      </w:r>
      <w:proofErr w:type="spellEnd"/>
      <w:r w:rsidRPr="001A7FB1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1A7FB1">
        <w:rPr>
          <w:bCs/>
          <w:sz w:val="24"/>
          <w:szCs w:val="24"/>
        </w:rPr>
        <w:t>Эскроу</w:t>
      </w:r>
      <w:proofErr w:type="spellEnd"/>
      <w:r w:rsidR="00F41EE6" w:rsidRPr="001A7FB1">
        <w:rPr>
          <w:bCs/>
          <w:sz w:val="24"/>
          <w:szCs w:val="24"/>
        </w:rPr>
        <w:t xml:space="preserve">-агенте </w:t>
      </w:r>
      <w:r w:rsidR="00F41EE6" w:rsidRPr="001A7FB1">
        <w:rPr>
          <w:sz w:val="24"/>
          <w:szCs w:val="24"/>
        </w:rPr>
        <w:t xml:space="preserve">для учета и блокирования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Pr="000928BE">
        <w:rPr>
          <w:sz w:val="24"/>
          <w:szCs w:val="24"/>
        </w:rPr>
        <w:lastRenderedPageBreak/>
        <w:t>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E70C50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2061B4" w:rsidRPr="002061B4">
        <w:rPr>
          <w:iCs/>
          <w:sz w:val="24"/>
          <w:szCs w:val="24"/>
        </w:rPr>
        <w:t xml:space="preserve">01.07.2023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2A5B87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2061B4" w:rsidRPr="002061B4">
        <w:rPr>
          <w:iCs/>
          <w:sz w:val="24"/>
          <w:szCs w:val="24"/>
        </w:rPr>
        <w:t xml:space="preserve">31.07.2023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 в целях информирования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-агента о смене депонента по счету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>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</w:t>
      </w:r>
      <w:r w:rsidRPr="000928BE">
        <w:rPr>
          <w:sz w:val="24"/>
          <w:szCs w:val="24"/>
        </w:rPr>
        <w:lastRenderedPageBreak/>
        <w:t>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со стороны ЗАСТРОЙЩИКА, за исключением уведомлений, направляемых </w:t>
      </w:r>
      <w:r w:rsidRPr="000928BE">
        <w:rPr>
          <w:sz w:val="24"/>
          <w:szCs w:val="24"/>
        </w:rPr>
        <w:lastRenderedPageBreak/>
        <w:t>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08FCEE58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6A5052B3" w14:textId="268187BA" w:rsidR="00E875E8" w:rsidRDefault="00E875E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240B739" w14:textId="17C1D895" w:rsidR="00E875E8" w:rsidRDefault="00E875E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9E7B90" w14:textId="14F6F5F8" w:rsidR="00E875E8" w:rsidRDefault="00E875E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6146D67A" w14:textId="77777777" w:rsidR="00E875E8" w:rsidRPr="000928BE" w:rsidRDefault="00E875E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49A3C6FB" w14:textId="77777777" w:rsidR="00272557" w:rsidRDefault="000E274D" w:rsidP="00272557">
      <w:pPr>
        <w:pStyle w:val="a7"/>
        <w:ind w:left="709"/>
        <w:rPr>
          <w:sz w:val="24"/>
          <w:szCs w:val="24"/>
        </w:rPr>
      </w:pPr>
      <w:bookmarkStart w:id="2" w:name="_Hlk32338720"/>
      <w:bookmarkStart w:id="3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="00030804">
        <w:t>«</w:t>
      </w:r>
      <w:r w:rsidR="00272557" w:rsidRPr="00272557">
        <w:rPr>
          <w:sz w:val="24"/>
          <w:szCs w:val="24"/>
        </w:rPr>
        <w:t>СПЕЦИАЛИЗИРОВАННЫЙ ЗАСТРОЙЩИК СЕРЕДНЕВО</w:t>
      </w:r>
      <w:r w:rsidRPr="000341D0">
        <w:rPr>
          <w:sz w:val="24"/>
          <w:szCs w:val="24"/>
        </w:rPr>
        <w:t>»,</w:t>
      </w:r>
    </w:p>
    <w:p w14:paraId="2BA346F2" w14:textId="22680DBB" w:rsidR="000E274D" w:rsidRPr="009C2E17" w:rsidRDefault="000E274D" w:rsidP="005941FD">
      <w:pPr>
        <w:pStyle w:val="a7"/>
        <w:ind w:left="709"/>
        <w:rPr>
          <w:sz w:val="24"/>
          <w:szCs w:val="24"/>
        </w:rPr>
      </w:pP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</w:t>
      </w:r>
      <w:r w:rsidR="00030804" w:rsidRPr="00030804">
        <w:rPr>
          <w:sz w:val="24"/>
          <w:szCs w:val="24"/>
        </w:rPr>
        <w:t>7714911058</w:t>
      </w:r>
      <w:r w:rsidRPr="000341D0">
        <w:rPr>
          <w:sz w:val="24"/>
          <w:szCs w:val="24"/>
        </w:rPr>
        <w:t>,</w:t>
      </w:r>
      <w:r w:rsidR="005941FD">
        <w:rPr>
          <w:sz w:val="24"/>
          <w:szCs w:val="24"/>
        </w:rPr>
        <w:t xml:space="preserve"> </w:t>
      </w:r>
      <w:r w:rsidRPr="000341D0">
        <w:rPr>
          <w:sz w:val="24"/>
          <w:szCs w:val="24"/>
        </w:rPr>
        <w:t xml:space="preserve">КПП </w:t>
      </w:r>
      <w:r w:rsidR="00030804" w:rsidRPr="00030804">
        <w:rPr>
          <w:sz w:val="24"/>
          <w:szCs w:val="24"/>
        </w:rPr>
        <w:t>770901001</w:t>
      </w:r>
      <w:r w:rsidRPr="000341D0">
        <w:rPr>
          <w:sz w:val="24"/>
          <w:szCs w:val="24"/>
        </w:rPr>
        <w:t xml:space="preserve">, ОГРН </w:t>
      </w:r>
      <w:bookmarkEnd w:id="2"/>
      <w:r w:rsidR="00030804" w:rsidRPr="00030804">
        <w:rPr>
          <w:sz w:val="24"/>
          <w:szCs w:val="24"/>
        </w:rPr>
        <w:t>1137746624828</w:t>
      </w:r>
    </w:p>
    <w:bookmarkEnd w:id="3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473C3AFC" w:rsidR="00B41923" w:rsidRDefault="00B41923" w:rsidP="00B41923">
      <w:pPr>
        <w:tabs>
          <w:tab w:val="left" w:pos="5670"/>
        </w:tabs>
      </w:pPr>
    </w:p>
    <w:p w14:paraId="6CAFB8C0" w14:textId="2C4F8A79" w:rsidR="003D350F" w:rsidRDefault="003D350F" w:rsidP="00B41923">
      <w:pPr>
        <w:tabs>
          <w:tab w:val="left" w:pos="5670"/>
        </w:tabs>
      </w:pPr>
    </w:p>
    <w:p w14:paraId="02800D04" w14:textId="058009C1" w:rsidR="003D350F" w:rsidRDefault="003D350F" w:rsidP="00B41923">
      <w:pPr>
        <w:tabs>
          <w:tab w:val="left" w:pos="5670"/>
        </w:tabs>
      </w:pPr>
    </w:p>
    <w:p w14:paraId="1C02E68B" w14:textId="36531A29" w:rsidR="003D350F" w:rsidRDefault="003D350F" w:rsidP="00B41923">
      <w:pPr>
        <w:tabs>
          <w:tab w:val="left" w:pos="5670"/>
        </w:tabs>
      </w:pPr>
    </w:p>
    <w:p w14:paraId="2D1F5FEA" w14:textId="27AF5B0B" w:rsidR="003D350F" w:rsidRDefault="003D350F" w:rsidP="00B41923">
      <w:pPr>
        <w:tabs>
          <w:tab w:val="left" w:pos="5670"/>
        </w:tabs>
      </w:pPr>
    </w:p>
    <w:p w14:paraId="0D446FF8" w14:textId="15882EB3" w:rsidR="003D350F" w:rsidRDefault="003D350F" w:rsidP="00B41923">
      <w:pPr>
        <w:tabs>
          <w:tab w:val="left" w:pos="5670"/>
        </w:tabs>
      </w:pPr>
    </w:p>
    <w:p w14:paraId="247445F2" w14:textId="1BAC223E" w:rsidR="003D350F" w:rsidRDefault="003D350F" w:rsidP="00B41923">
      <w:pPr>
        <w:tabs>
          <w:tab w:val="left" w:pos="5670"/>
        </w:tabs>
      </w:pPr>
    </w:p>
    <w:p w14:paraId="35AA6962" w14:textId="6599ABAB" w:rsidR="003D350F" w:rsidRDefault="003D350F" w:rsidP="00B41923">
      <w:pPr>
        <w:tabs>
          <w:tab w:val="left" w:pos="5670"/>
        </w:tabs>
      </w:pPr>
    </w:p>
    <w:p w14:paraId="535B9B82" w14:textId="7C69A2A3" w:rsidR="003D350F" w:rsidRDefault="003D350F" w:rsidP="00B41923">
      <w:pPr>
        <w:tabs>
          <w:tab w:val="left" w:pos="5670"/>
        </w:tabs>
      </w:pPr>
    </w:p>
    <w:p w14:paraId="7B91544D" w14:textId="115C0F61" w:rsidR="003D350F" w:rsidRDefault="003D350F" w:rsidP="00B41923">
      <w:pPr>
        <w:tabs>
          <w:tab w:val="left" w:pos="5670"/>
        </w:tabs>
      </w:pPr>
    </w:p>
    <w:p w14:paraId="13C6A407" w14:textId="468F6554" w:rsidR="003D350F" w:rsidRDefault="003D350F" w:rsidP="00B41923">
      <w:pPr>
        <w:tabs>
          <w:tab w:val="left" w:pos="5670"/>
        </w:tabs>
      </w:pPr>
    </w:p>
    <w:p w14:paraId="062F179E" w14:textId="57A9C28B" w:rsidR="003D350F" w:rsidRDefault="003D350F" w:rsidP="00B41923">
      <w:pPr>
        <w:tabs>
          <w:tab w:val="left" w:pos="5670"/>
        </w:tabs>
      </w:pPr>
    </w:p>
    <w:p w14:paraId="2699268A" w14:textId="77777777" w:rsidR="003D350F" w:rsidRDefault="003D350F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77567F58" w14:textId="3F6DD65E" w:rsidR="003D350F" w:rsidRDefault="003D350F" w:rsidP="00B41923">
      <w:pPr>
        <w:tabs>
          <w:tab w:val="left" w:pos="5670"/>
        </w:tabs>
        <w:rPr>
          <w:sz w:val="24"/>
          <w:szCs w:val="24"/>
        </w:rPr>
      </w:pPr>
      <w:r w:rsidRPr="003D350F">
        <w:rPr>
          <w:sz w:val="24"/>
          <w:szCs w:val="24"/>
        </w:rPr>
        <w:t xml:space="preserve">г. Москва, п. </w:t>
      </w:r>
      <w:proofErr w:type="spellStart"/>
      <w:r w:rsidRPr="003D350F">
        <w:rPr>
          <w:sz w:val="24"/>
          <w:szCs w:val="24"/>
        </w:rPr>
        <w:t>Филимоновское</w:t>
      </w:r>
      <w:proofErr w:type="spellEnd"/>
      <w:r w:rsidRPr="003D3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2378325C" w14:textId="54A72FBF" w:rsidR="003D350F" w:rsidRDefault="003D350F" w:rsidP="00B41923">
      <w:pPr>
        <w:tabs>
          <w:tab w:val="left" w:pos="5670"/>
        </w:tabs>
        <w:rPr>
          <w:sz w:val="24"/>
          <w:szCs w:val="24"/>
        </w:rPr>
      </w:pPr>
      <w:r w:rsidRPr="003D350F">
        <w:rPr>
          <w:sz w:val="24"/>
          <w:szCs w:val="24"/>
        </w:rPr>
        <w:t xml:space="preserve">ОАО «Марьинская птицефабрика», </w:t>
      </w:r>
      <w:r>
        <w:rPr>
          <w:sz w:val="24"/>
          <w:szCs w:val="24"/>
        </w:rPr>
        <w:t xml:space="preserve">                                            </w:t>
      </w:r>
      <w:r w:rsidRPr="00B441D9">
        <w:rPr>
          <w:sz w:val="24"/>
          <w:szCs w:val="24"/>
        </w:rPr>
        <w:t>строительстве № ХХХХХ</w:t>
      </w:r>
    </w:p>
    <w:p w14:paraId="1429D780" w14:textId="77ECCEC5" w:rsidR="00FA7DB8" w:rsidRDefault="003D350F" w:rsidP="00B41923">
      <w:pPr>
        <w:tabs>
          <w:tab w:val="left" w:pos="5670"/>
        </w:tabs>
        <w:rPr>
          <w:sz w:val="24"/>
          <w:szCs w:val="24"/>
        </w:rPr>
      </w:pPr>
      <w:r w:rsidRPr="003D350F">
        <w:rPr>
          <w:sz w:val="24"/>
          <w:szCs w:val="24"/>
        </w:rPr>
        <w:t xml:space="preserve">вблизи д. </w:t>
      </w:r>
      <w:proofErr w:type="spellStart"/>
      <w:r w:rsidRPr="003D350F">
        <w:rPr>
          <w:sz w:val="24"/>
          <w:szCs w:val="24"/>
        </w:rPr>
        <w:t>Середнево</w:t>
      </w:r>
      <w:proofErr w:type="spellEnd"/>
      <w:r w:rsidRPr="003D350F">
        <w:rPr>
          <w:sz w:val="24"/>
          <w:szCs w:val="24"/>
        </w:rPr>
        <w:t>, уч. VIII-1/1, корп.1.2</w:t>
      </w:r>
      <w:r>
        <w:rPr>
          <w:sz w:val="24"/>
          <w:szCs w:val="24"/>
        </w:rPr>
        <w:t xml:space="preserve">                                 </w:t>
      </w:r>
      <w:r w:rsidRPr="00B441D9">
        <w:rPr>
          <w:sz w:val="24"/>
          <w:szCs w:val="24"/>
        </w:rPr>
        <w:t xml:space="preserve">от </w:t>
      </w:r>
      <w:r w:rsidRPr="00FA7DB8">
        <w:rPr>
          <w:bCs/>
          <w:sz w:val="24"/>
          <w:szCs w:val="24"/>
        </w:rPr>
        <w:t>«__» ________ 20___</w:t>
      </w:r>
      <w:r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320A289D" w14:textId="7E1B6D3F" w:rsidR="00B41923" w:rsidRPr="00B441D9" w:rsidRDefault="003D350F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</w:p>
    <w:p w14:paraId="4AC4EFFE" w14:textId="6E639A18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3DA0D4A3" w:rsidR="00B41923" w:rsidRPr="00B441D9" w:rsidRDefault="00BA57FD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E0A370C" wp14:editId="789D7212">
            <wp:extent cx="6413679" cy="56224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6246" cy="56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B19F" w14:textId="77777777" w:rsidR="00AA7215" w:rsidRDefault="00AA7215">
      <w:r>
        <w:separator/>
      </w:r>
    </w:p>
  </w:endnote>
  <w:endnote w:type="continuationSeparator" w:id="0">
    <w:p w14:paraId="51BBC0EE" w14:textId="77777777" w:rsidR="00AA7215" w:rsidRDefault="00A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4" w:name="bar_code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B859" w14:textId="77777777" w:rsidR="00AA7215" w:rsidRDefault="00AA7215">
      <w:r>
        <w:separator/>
      </w:r>
    </w:p>
  </w:footnote>
  <w:footnote w:type="continuationSeparator" w:id="0">
    <w:p w14:paraId="4A7134B0" w14:textId="77777777" w:rsidR="00AA7215" w:rsidRDefault="00AA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804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625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61B4"/>
    <w:rsid w:val="00207BDB"/>
    <w:rsid w:val="002111FA"/>
    <w:rsid w:val="002120C7"/>
    <w:rsid w:val="0021750E"/>
    <w:rsid w:val="0022059A"/>
    <w:rsid w:val="00220CC8"/>
    <w:rsid w:val="00222800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557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0CA4"/>
    <w:rsid w:val="003D1A42"/>
    <w:rsid w:val="003D20E7"/>
    <w:rsid w:val="003D350F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41FD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97D16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460D9"/>
    <w:rsid w:val="00952B11"/>
    <w:rsid w:val="009541CB"/>
    <w:rsid w:val="00954E76"/>
    <w:rsid w:val="00956096"/>
    <w:rsid w:val="00957355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215"/>
    <w:rsid w:val="00AB23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57FD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875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2D56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5E8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23</cp:revision>
  <cp:lastPrinted>2017-02-27T11:20:00Z</cp:lastPrinted>
  <dcterms:created xsi:type="dcterms:W3CDTF">2021-04-16T10:03:00Z</dcterms:created>
  <dcterms:modified xsi:type="dcterms:W3CDTF">2021-06-29T08:48:00Z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